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jc w:val="right"/>
        <w:rPr>
          <w:b/>
          <w:bCs/>
          <w:spacing w:val="-6"/>
          <w:sz w:val="24"/>
          <w:szCs w:val="24"/>
        </w:rPr>
      </w:pPr>
      <w:r w:rsidRPr="009354BD">
        <w:rPr>
          <w:b/>
          <w:bCs/>
          <w:spacing w:val="-6"/>
        </w:rPr>
        <w:t>Образец оформления статьи</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rPr>
          <w:spacing w:val="-6"/>
          <w:sz w:val="24"/>
          <w:szCs w:val="24"/>
        </w:rPr>
      </w:pPr>
      <w:r w:rsidRPr="009354BD">
        <w:rPr>
          <w:spacing w:val="-6"/>
          <w:sz w:val="24"/>
          <w:szCs w:val="24"/>
        </w:rPr>
        <w:t>УДК 94(47</w:t>
      </w:r>
      <w:proofErr w:type="gramStart"/>
      <w:r w:rsidRPr="009354BD">
        <w:rPr>
          <w:spacing w:val="-6"/>
          <w:sz w:val="24"/>
          <w:szCs w:val="24"/>
        </w:rPr>
        <w:t>).084.8</w:t>
      </w:r>
      <w:proofErr w:type="gramEnd"/>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jc w:val="right"/>
        <w:rPr>
          <w:b/>
          <w:bCs/>
          <w:i/>
          <w:iCs/>
          <w:spacing w:val="-6"/>
        </w:rPr>
      </w:pPr>
      <w:r w:rsidRPr="009354BD">
        <w:rPr>
          <w:b/>
          <w:bCs/>
          <w:i/>
          <w:iCs/>
          <w:spacing w:val="-6"/>
        </w:rPr>
        <w:t>В.Н. Круглов</w:t>
      </w:r>
      <w:r w:rsidRPr="009354BD">
        <w:rPr>
          <w:spacing w:val="-6"/>
          <w:vertAlign w:val="superscript"/>
        </w:rPr>
        <w:t>1</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jc w:val="center"/>
        <w:rPr>
          <w:b/>
          <w:bCs/>
          <w:spacing w:val="-6"/>
        </w:rPr>
      </w:pPr>
      <w:r w:rsidRPr="009354BD">
        <w:rPr>
          <w:b/>
          <w:bCs/>
          <w:spacing w:val="-6"/>
        </w:rPr>
        <w:t>Конструирование подвига (Герой Советского Союза Василий</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jc w:val="center"/>
        <w:rPr>
          <w:b/>
          <w:bCs/>
          <w:spacing w:val="-6"/>
        </w:rPr>
      </w:pPr>
      <w:r w:rsidRPr="009354BD">
        <w:rPr>
          <w:b/>
          <w:bCs/>
          <w:spacing w:val="-6"/>
        </w:rPr>
        <w:t>Александрович Ершов)</w:t>
      </w:r>
    </w:p>
    <w:p w:rsidR="00E502A6" w:rsidRPr="00CA54B4"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rPr>
          <w:spacing w:val="-6"/>
          <w:sz w:val="16"/>
          <w:szCs w:val="16"/>
        </w:rPr>
      </w:pPr>
    </w:p>
    <w:p w:rsidR="00E502A6" w:rsidRPr="009354BD"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left="567" w:right="566" w:firstLine="0"/>
        <w:rPr>
          <w:spacing w:val="-6"/>
          <w:sz w:val="24"/>
          <w:szCs w:val="24"/>
        </w:rPr>
      </w:pPr>
      <w:r w:rsidRPr="009354BD">
        <w:rPr>
          <w:b/>
          <w:bCs/>
          <w:i/>
          <w:iCs/>
          <w:spacing w:val="-6"/>
          <w:sz w:val="24"/>
          <w:szCs w:val="24"/>
        </w:rPr>
        <w:t>Аннотация</w:t>
      </w:r>
      <w:r w:rsidRPr="009354BD">
        <w:rPr>
          <w:spacing w:val="-6"/>
          <w:sz w:val="24"/>
          <w:szCs w:val="24"/>
        </w:rPr>
        <w:t xml:space="preserve">. В статье анализируются свидетельства о боестолкновении группы советских пехотинцев с превосходящими силами противника в ходе Крымской наступательной операции (апрель 1944 г.). В ходе завершившейся недавно работы с архивом «Комиссии </w:t>
      </w:r>
      <w:proofErr w:type="spellStart"/>
      <w:r w:rsidRPr="009354BD">
        <w:rPr>
          <w:spacing w:val="-6"/>
          <w:sz w:val="24"/>
          <w:szCs w:val="24"/>
        </w:rPr>
        <w:t>Минца</w:t>
      </w:r>
      <w:proofErr w:type="spellEnd"/>
      <w:r w:rsidRPr="009354BD">
        <w:rPr>
          <w:spacing w:val="-6"/>
          <w:sz w:val="24"/>
          <w:szCs w:val="24"/>
        </w:rPr>
        <w:t>» выявлено свидетельство единственного выжившего участника боя, которое резко противоречит бытующим до сих пор официозным описаниям боестолкновения. Сопоставление всех рассказов о событии и выявление обстоятельств их создания позволяют восстановить ход формирования мифа об отдельно взятом подвиге в ходе Великой Отечественной войны.</w:t>
      </w:r>
    </w:p>
    <w:p w:rsidR="00E502A6" w:rsidRPr="009354BD"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left="567" w:right="566" w:firstLine="0"/>
        <w:rPr>
          <w:spacing w:val="-6"/>
          <w:sz w:val="24"/>
          <w:szCs w:val="24"/>
        </w:rPr>
      </w:pPr>
      <w:r w:rsidRPr="009354BD">
        <w:rPr>
          <w:b/>
          <w:bCs/>
          <w:i/>
          <w:iCs/>
          <w:spacing w:val="-6"/>
          <w:sz w:val="24"/>
          <w:szCs w:val="24"/>
        </w:rPr>
        <w:t>Ключевые слова</w:t>
      </w:r>
      <w:r w:rsidRPr="009354BD">
        <w:rPr>
          <w:spacing w:val="-6"/>
          <w:sz w:val="24"/>
          <w:szCs w:val="24"/>
        </w:rPr>
        <w:t>: Великая Отечественная война; Крымская наступательная операция 1944 г.; патриотическая пропаганда.</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rPr>
          <w:spacing w:val="-6"/>
          <w:sz w:val="24"/>
          <w:szCs w:val="24"/>
        </w:rPr>
      </w:pP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jc w:val="center"/>
        <w:rPr>
          <w:b/>
          <w:bCs/>
          <w:spacing w:val="-6"/>
          <w:lang w:val="en-US"/>
        </w:rPr>
      </w:pPr>
      <w:r w:rsidRPr="009354BD">
        <w:rPr>
          <w:b/>
          <w:bCs/>
          <w:spacing w:val="-6"/>
          <w:lang w:val="en-US"/>
        </w:rPr>
        <w:t xml:space="preserve">Constructing the </w:t>
      </w:r>
      <w:proofErr w:type="spellStart"/>
      <w:r w:rsidRPr="009354BD">
        <w:rPr>
          <w:b/>
          <w:bCs/>
          <w:spacing w:val="-6"/>
          <w:lang w:val="en-US"/>
        </w:rPr>
        <w:t>heroi</w:t>
      </w:r>
      <w:proofErr w:type="spellEnd"/>
      <w:r w:rsidRPr="009354BD">
        <w:rPr>
          <w:b/>
          <w:bCs/>
          <w:spacing w:val="-6"/>
        </w:rPr>
        <w:t>с</w:t>
      </w:r>
      <w:r w:rsidRPr="009354BD">
        <w:rPr>
          <w:b/>
          <w:bCs/>
          <w:spacing w:val="-6"/>
          <w:lang w:val="en-US"/>
        </w:rPr>
        <w:t xml:space="preserve"> act (a case of the hero of the Soviet Union </w:t>
      </w:r>
      <w:proofErr w:type="spellStart"/>
      <w:r w:rsidRPr="009354BD">
        <w:rPr>
          <w:b/>
          <w:bCs/>
          <w:spacing w:val="-6"/>
          <w:lang w:val="en-US"/>
        </w:rPr>
        <w:t>Vasily</w:t>
      </w:r>
      <w:proofErr w:type="spellEnd"/>
      <w:r w:rsidRPr="009354BD">
        <w:rPr>
          <w:b/>
          <w:bCs/>
          <w:spacing w:val="-6"/>
          <w:lang w:val="en-US"/>
        </w:rPr>
        <w:t xml:space="preserve"> </w:t>
      </w:r>
      <w:proofErr w:type="spellStart"/>
      <w:r w:rsidRPr="009354BD">
        <w:rPr>
          <w:b/>
          <w:bCs/>
          <w:spacing w:val="-6"/>
          <w:lang w:val="en-US"/>
        </w:rPr>
        <w:t>Alexandrovich</w:t>
      </w:r>
      <w:proofErr w:type="spellEnd"/>
      <w:r w:rsidRPr="009354BD">
        <w:rPr>
          <w:b/>
          <w:bCs/>
          <w:spacing w:val="-6"/>
          <w:lang w:val="en-US"/>
        </w:rPr>
        <w:t xml:space="preserve"> </w:t>
      </w:r>
      <w:proofErr w:type="spellStart"/>
      <w:r w:rsidRPr="009354BD">
        <w:rPr>
          <w:b/>
          <w:bCs/>
          <w:spacing w:val="-6"/>
          <w:lang w:val="en-US"/>
        </w:rPr>
        <w:t>Ershov</w:t>
      </w:r>
      <w:proofErr w:type="spellEnd"/>
      <w:r w:rsidRPr="009354BD">
        <w:rPr>
          <w:b/>
          <w:bCs/>
          <w:spacing w:val="-6"/>
          <w:lang w:val="en-US"/>
        </w:rPr>
        <w:t>)</w:t>
      </w:r>
    </w:p>
    <w:p w:rsidR="00E502A6" w:rsidRPr="00CA54B4"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rPr>
          <w:spacing w:val="-6"/>
          <w:sz w:val="16"/>
          <w:szCs w:val="16"/>
          <w:lang w:val="en-US"/>
        </w:rPr>
      </w:pPr>
    </w:p>
    <w:p w:rsidR="00E502A6" w:rsidRPr="009354BD"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left="567" w:right="566" w:firstLine="0"/>
        <w:rPr>
          <w:spacing w:val="-6"/>
          <w:sz w:val="24"/>
          <w:szCs w:val="24"/>
          <w:lang w:val="en-US"/>
        </w:rPr>
      </w:pPr>
      <w:r w:rsidRPr="009354BD">
        <w:rPr>
          <w:b/>
          <w:bCs/>
          <w:i/>
          <w:iCs/>
          <w:spacing w:val="-6"/>
          <w:sz w:val="24"/>
          <w:szCs w:val="24"/>
          <w:lang w:val="en-US"/>
        </w:rPr>
        <w:t>Abstract</w:t>
      </w:r>
      <w:r w:rsidRPr="009354BD">
        <w:rPr>
          <w:spacing w:val="-6"/>
          <w:sz w:val="24"/>
          <w:szCs w:val="24"/>
          <w:lang w:val="en-US"/>
        </w:rPr>
        <w:t>. The article analyzes the memory of a clash of a group of Soviet infantrymen with superior enemy forces during the Crimean Offensive (April 1944). In the course of recently completed work with the archives of the “Mints Commission”, the evidence of the only surviving participant in the battle has been revealed, which sharply contradicts the official descriptions of the clash that are still prevailing. Comparison of all the stories about the event and the identification of the circumstances of their creation make it possible to restore the course of the formation of the myth about a particular feat during the Great Patriotic War.</w:t>
      </w:r>
    </w:p>
    <w:p w:rsidR="00E502A6" w:rsidRPr="009354BD"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left="567" w:right="566" w:firstLine="0"/>
        <w:rPr>
          <w:spacing w:val="-6"/>
          <w:sz w:val="24"/>
          <w:szCs w:val="24"/>
          <w:lang w:val="en-US"/>
        </w:rPr>
      </w:pPr>
      <w:r w:rsidRPr="009354BD">
        <w:rPr>
          <w:b/>
          <w:bCs/>
          <w:i/>
          <w:iCs/>
          <w:spacing w:val="-6"/>
          <w:sz w:val="24"/>
          <w:szCs w:val="24"/>
          <w:lang w:val="en-US"/>
        </w:rPr>
        <w:t>Keywords</w:t>
      </w:r>
      <w:r w:rsidRPr="009354BD">
        <w:rPr>
          <w:spacing w:val="-6"/>
          <w:sz w:val="24"/>
          <w:szCs w:val="24"/>
          <w:lang w:val="en-US"/>
        </w:rPr>
        <w:t>: Great Patriotic War; Crimean Offensive 1944; patriotic propaganda.</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firstLine="0"/>
        <w:rPr>
          <w:spacing w:val="-6"/>
          <w:sz w:val="24"/>
          <w:szCs w:val="24"/>
          <w:lang w:val="en-US"/>
        </w:rPr>
      </w:pPr>
    </w:p>
    <w:p w:rsidR="00E502A6"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rPr>
          <w:spacing w:val="-6"/>
        </w:rPr>
      </w:pPr>
      <w:r w:rsidRPr="009354BD">
        <w:rPr>
          <w:spacing w:val="-6"/>
        </w:rPr>
        <w:t xml:space="preserve">На протяжении 2017–2020 гг. группа сотрудников Института российской истории РАН вела исследовательскую работу в рамках гранта РГНФ «Освобождение Крыма от нацистской оккупации в 1944 г.: свидетельства участников и очевидцев», итогом которой стало издание сборника документов [6]. </w:t>
      </w:r>
      <w:proofErr w:type="spellStart"/>
      <w:r w:rsidRPr="009354BD">
        <w:rPr>
          <w:spacing w:val="-6"/>
        </w:rPr>
        <w:t>Источниковой</w:t>
      </w:r>
      <w:proofErr w:type="spellEnd"/>
      <w:r w:rsidRPr="009354BD">
        <w:rPr>
          <w:spacing w:val="-6"/>
        </w:rPr>
        <w:t xml:space="preserve"> основой исследования явился архив Комиссии по истории Великой Отечественной войны АН СССР, действовавшей в 1941–1946 гг. под руководством академика И.И. </w:t>
      </w:r>
      <w:proofErr w:type="spellStart"/>
      <w:r w:rsidRPr="009354BD">
        <w:rPr>
          <w:spacing w:val="-6"/>
        </w:rPr>
        <w:t>Минца</w:t>
      </w:r>
      <w:proofErr w:type="spellEnd"/>
      <w:r w:rsidRPr="009354BD">
        <w:rPr>
          <w:spacing w:val="-6"/>
        </w:rPr>
        <w:t>, «главной задачей» которой «было собрать документы и свидетельства о войне непосредственно по следам боевых действий» [6, с. 11]</w:t>
      </w:r>
      <w:r w:rsidRPr="007D2011">
        <w:rPr>
          <w:spacing w:val="-6"/>
          <w:vertAlign w:val="superscript"/>
        </w:rPr>
        <w:t>2</w:t>
      </w:r>
      <w:r w:rsidRPr="009354BD">
        <w:rPr>
          <w:spacing w:val="-6"/>
        </w:rPr>
        <w:t>.</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312" w:lineRule="auto"/>
        <w:ind w:right="10"/>
        <w:rPr>
          <w:spacing w:val="-6"/>
          <w:sz w:val="20"/>
          <w:szCs w:val="20"/>
        </w:rPr>
      </w:pPr>
      <w:r w:rsidRPr="009354BD">
        <w:rPr>
          <w:spacing w:val="-6"/>
          <w:sz w:val="20"/>
          <w:szCs w:val="20"/>
        </w:rPr>
        <w:t>________________________</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right="10" w:firstLine="0"/>
        <w:rPr>
          <w:spacing w:val="-6"/>
          <w:sz w:val="20"/>
          <w:szCs w:val="20"/>
        </w:rPr>
      </w:pPr>
      <w:r w:rsidRPr="009354BD">
        <w:rPr>
          <w:spacing w:val="-6"/>
          <w:sz w:val="20"/>
          <w:szCs w:val="20"/>
        </w:rPr>
        <w:t>1 Владимир Николаевич Круглов – кандидат исторических наук, старший научный сотрудник Центра социальной истории России Института российской истории Российской академии наук (Москва, Россия)</w:t>
      </w:r>
      <w:proofErr w:type="gramStart"/>
      <w:r w:rsidRPr="009354BD">
        <w:rPr>
          <w:spacing w:val="-6"/>
          <w:sz w:val="20"/>
          <w:szCs w:val="20"/>
        </w:rPr>
        <w:t>. e-</w:t>
      </w:r>
      <w:proofErr w:type="spellStart"/>
      <w:r w:rsidRPr="009354BD">
        <w:rPr>
          <w:spacing w:val="-6"/>
          <w:sz w:val="20"/>
          <w:szCs w:val="20"/>
        </w:rPr>
        <w:t>mail</w:t>
      </w:r>
      <w:proofErr w:type="spellEnd"/>
      <w:proofErr w:type="gramEnd"/>
      <w:r w:rsidRPr="009354BD">
        <w:rPr>
          <w:spacing w:val="-6"/>
          <w:sz w:val="20"/>
          <w:szCs w:val="20"/>
        </w:rPr>
        <w:t>: vladimirkruglov2007@yandex.ru</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right="10" w:firstLine="0"/>
        <w:rPr>
          <w:spacing w:val="-6"/>
          <w:sz w:val="20"/>
          <w:szCs w:val="20"/>
          <w:lang w:val="en-US"/>
        </w:rPr>
      </w:pPr>
      <w:r w:rsidRPr="009354BD">
        <w:rPr>
          <w:spacing w:val="-6"/>
          <w:sz w:val="20"/>
          <w:szCs w:val="20"/>
          <w:lang w:val="en-US"/>
        </w:rPr>
        <w:t xml:space="preserve">Vladimir N. </w:t>
      </w:r>
      <w:proofErr w:type="spellStart"/>
      <w:r w:rsidRPr="009354BD">
        <w:rPr>
          <w:spacing w:val="-6"/>
          <w:sz w:val="20"/>
          <w:szCs w:val="20"/>
          <w:lang w:val="en-US"/>
        </w:rPr>
        <w:t>Kruglov</w:t>
      </w:r>
      <w:proofErr w:type="spellEnd"/>
      <w:r w:rsidRPr="009354BD">
        <w:rPr>
          <w:spacing w:val="-6"/>
          <w:sz w:val="20"/>
          <w:szCs w:val="20"/>
          <w:lang w:val="en-US"/>
        </w:rPr>
        <w:t xml:space="preserve"> – Candidate of Historical Sciences, Senior Researcher in the Center of Social History of Russia, Institute of Russian History, Russian Academy of Sciences (Moscow, Russia).</w:t>
      </w:r>
    </w:p>
    <w:p w:rsidR="00E502A6" w:rsidRPr="009354BD" w:rsidRDefault="00E502A6" w:rsidP="00E502A6">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spacing w:line="240" w:lineRule="auto"/>
        <w:ind w:right="10" w:firstLine="0"/>
        <w:rPr>
          <w:spacing w:val="-6"/>
          <w:sz w:val="20"/>
          <w:szCs w:val="20"/>
        </w:rPr>
      </w:pPr>
      <w:r w:rsidRPr="009354BD">
        <w:rPr>
          <w:spacing w:val="-6"/>
          <w:sz w:val="20"/>
          <w:szCs w:val="20"/>
        </w:rPr>
        <w:t xml:space="preserve">2 Отсюда просторечное название этой структуры – «Комиссия </w:t>
      </w:r>
      <w:proofErr w:type="spellStart"/>
      <w:r w:rsidRPr="009354BD">
        <w:rPr>
          <w:spacing w:val="-6"/>
          <w:sz w:val="20"/>
          <w:szCs w:val="20"/>
        </w:rPr>
        <w:t>Минца</w:t>
      </w:r>
      <w:proofErr w:type="spellEnd"/>
      <w:r w:rsidRPr="009354BD">
        <w:rPr>
          <w:spacing w:val="-6"/>
          <w:sz w:val="20"/>
          <w:szCs w:val="20"/>
        </w:rPr>
        <w:t>».</w:t>
      </w:r>
    </w:p>
    <w:p w:rsidR="00E502A6" w:rsidRPr="007D2011"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jc w:val="center"/>
        <w:rPr>
          <w:b/>
          <w:bCs/>
          <w:spacing w:val="-6"/>
        </w:rPr>
      </w:pPr>
      <w:r>
        <w:rPr>
          <w:b/>
          <w:bCs/>
          <w:spacing w:val="-6"/>
        </w:rPr>
        <w:lastRenderedPageBreak/>
        <w:t>Список источников и литературы</w:t>
      </w:r>
    </w:p>
    <w:p w:rsidR="00E502A6" w:rsidRPr="00D36496"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rPr>
          <w:spacing w:val="-6"/>
        </w:rPr>
      </w:pPr>
      <w:bookmarkStart w:id="0" w:name="_GoBack"/>
      <w:bookmarkEnd w:id="0"/>
      <w:r w:rsidRPr="00D36496">
        <w:rPr>
          <w:spacing w:val="-6"/>
        </w:rPr>
        <w:t>1. Государственный архив Российской Федерации (ГА РФ). Ф. 6822. Оп. 1. Д. 159.</w:t>
      </w:r>
    </w:p>
    <w:p w:rsidR="00E502A6" w:rsidRPr="00D36496"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rPr>
          <w:spacing w:val="-6"/>
        </w:rPr>
      </w:pPr>
      <w:r w:rsidRPr="00D36496">
        <w:rPr>
          <w:spacing w:val="-6"/>
        </w:rPr>
        <w:t xml:space="preserve">2. </w:t>
      </w:r>
      <w:r w:rsidRPr="007D2011">
        <w:rPr>
          <w:i/>
          <w:iCs/>
          <w:spacing w:val="-6"/>
        </w:rPr>
        <w:t>Ожегов С.И</w:t>
      </w:r>
      <w:r w:rsidRPr="00D36496">
        <w:rPr>
          <w:spacing w:val="-6"/>
        </w:rPr>
        <w:t>. Толковый словарь русского языка. М.: ИНФРА-М, 1998. 678 с.</w:t>
      </w:r>
    </w:p>
    <w:p w:rsidR="00E502A6" w:rsidRPr="00D36496"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rPr>
          <w:spacing w:val="-6"/>
        </w:rPr>
      </w:pPr>
      <w:r w:rsidRPr="00D36496">
        <w:rPr>
          <w:spacing w:val="-6"/>
        </w:rPr>
        <w:t>3. Российский государственных архив древних актов (РГАДА). Ф.1601. Оп.1. Д.36.</w:t>
      </w:r>
    </w:p>
    <w:p w:rsidR="00E502A6" w:rsidRPr="00D36496"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rPr>
          <w:spacing w:val="-6"/>
        </w:rPr>
      </w:pPr>
      <w:r w:rsidRPr="00D36496">
        <w:rPr>
          <w:spacing w:val="-6"/>
        </w:rPr>
        <w:t>4. Семейный</w:t>
      </w:r>
      <w:r>
        <w:rPr>
          <w:spacing w:val="-6"/>
        </w:rPr>
        <w:t xml:space="preserve"> </w:t>
      </w:r>
      <w:r w:rsidRPr="00D36496">
        <w:rPr>
          <w:spacing w:val="-6"/>
        </w:rPr>
        <w:t>кодекс</w:t>
      </w:r>
      <w:r>
        <w:rPr>
          <w:spacing w:val="-6"/>
        </w:rPr>
        <w:t xml:space="preserve"> </w:t>
      </w:r>
      <w:r w:rsidRPr="00D36496">
        <w:rPr>
          <w:spacing w:val="-6"/>
        </w:rPr>
        <w:t>Российской</w:t>
      </w:r>
      <w:r>
        <w:rPr>
          <w:spacing w:val="-6"/>
        </w:rPr>
        <w:t xml:space="preserve"> </w:t>
      </w:r>
      <w:r w:rsidRPr="00D36496">
        <w:rPr>
          <w:spacing w:val="-6"/>
        </w:rPr>
        <w:t>Федерации</w:t>
      </w:r>
      <w:r>
        <w:rPr>
          <w:spacing w:val="-6"/>
        </w:rPr>
        <w:t xml:space="preserve"> </w:t>
      </w:r>
      <w:r w:rsidRPr="00D36496">
        <w:rPr>
          <w:spacing w:val="-6"/>
        </w:rPr>
        <w:t>от</w:t>
      </w:r>
      <w:r>
        <w:rPr>
          <w:spacing w:val="-6"/>
        </w:rPr>
        <w:t xml:space="preserve"> </w:t>
      </w:r>
      <w:r w:rsidRPr="00D36496">
        <w:rPr>
          <w:spacing w:val="-6"/>
        </w:rPr>
        <w:t>29</w:t>
      </w:r>
      <w:r>
        <w:rPr>
          <w:spacing w:val="-6"/>
        </w:rPr>
        <w:t xml:space="preserve"> </w:t>
      </w:r>
      <w:r w:rsidRPr="00D36496">
        <w:rPr>
          <w:spacing w:val="-6"/>
        </w:rPr>
        <w:t>декабря</w:t>
      </w:r>
      <w:r>
        <w:rPr>
          <w:spacing w:val="-6"/>
        </w:rPr>
        <w:t xml:space="preserve"> </w:t>
      </w:r>
      <w:r w:rsidRPr="00D36496">
        <w:rPr>
          <w:spacing w:val="-6"/>
        </w:rPr>
        <w:t>1995</w:t>
      </w:r>
      <w:r>
        <w:rPr>
          <w:spacing w:val="-6"/>
        </w:rPr>
        <w:t xml:space="preserve"> </w:t>
      </w:r>
      <w:r w:rsidRPr="00D36496">
        <w:rPr>
          <w:spacing w:val="-6"/>
        </w:rPr>
        <w:t>г.</w:t>
      </w:r>
      <w:r>
        <w:rPr>
          <w:spacing w:val="-6"/>
        </w:rPr>
        <w:t xml:space="preserve"> </w:t>
      </w:r>
      <w:r w:rsidRPr="00D36496">
        <w:rPr>
          <w:spacing w:val="-6"/>
        </w:rPr>
        <w:t>№</w:t>
      </w:r>
      <w:r>
        <w:rPr>
          <w:spacing w:val="-6"/>
        </w:rPr>
        <w:t xml:space="preserve"> </w:t>
      </w:r>
      <w:r w:rsidRPr="00D36496">
        <w:rPr>
          <w:spacing w:val="-6"/>
        </w:rPr>
        <w:t>223-ФЗ</w:t>
      </w:r>
      <w:r>
        <w:rPr>
          <w:spacing w:val="-6"/>
        </w:rPr>
        <w:t xml:space="preserve"> </w:t>
      </w:r>
      <w:r w:rsidRPr="00D36496">
        <w:rPr>
          <w:spacing w:val="-6"/>
        </w:rPr>
        <w:t>(ред.</w:t>
      </w:r>
      <w:r>
        <w:rPr>
          <w:spacing w:val="-6"/>
        </w:rPr>
        <w:t xml:space="preserve"> </w:t>
      </w:r>
      <w:r w:rsidRPr="00D36496">
        <w:rPr>
          <w:spacing w:val="-6"/>
        </w:rPr>
        <w:t>от 30.11.2011 № 363-ФЗ) // Официальный интернет-портал правовой информации. URL: http://www.pravo.gov.ru (дата обращения: 01.12.2011).</w:t>
      </w:r>
    </w:p>
    <w:p w:rsidR="00E502A6" w:rsidRPr="00D36496" w:rsidRDefault="00E502A6" w:rsidP="00CA54B4">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2875"/>
          <w:tab w:val="left" w:leader="underscore" w:pos="5112"/>
        </w:tabs>
        <w:ind w:right="10" w:firstLine="0"/>
        <w:rPr>
          <w:spacing w:val="-6"/>
        </w:rPr>
      </w:pPr>
      <w:r w:rsidRPr="00D36496">
        <w:rPr>
          <w:spacing w:val="-6"/>
        </w:rPr>
        <w:t xml:space="preserve">5. </w:t>
      </w:r>
      <w:proofErr w:type="spellStart"/>
      <w:r w:rsidRPr="007D2011">
        <w:rPr>
          <w:i/>
          <w:iCs/>
          <w:spacing w:val="-6"/>
        </w:rPr>
        <w:t>Серазетдинов</w:t>
      </w:r>
      <w:proofErr w:type="spellEnd"/>
      <w:r w:rsidRPr="007D2011">
        <w:rPr>
          <w:i/>
          <w:iCs/>
          <w:spacing w:val="-6"/>
        </w:rPr>
        <w:t xml:space="preserve"> Б.У</w:t>
      </w:r>
      <w:r w:rsidRPr="00D36496">
        <w:rPr>
          <w:spacing w:val="-6"/>
        </w:rPr>
        <w:t>. Производство прожекторного вооружения для Красной Армии и Военно-Морского Флота в 1941–1945 гг. // Военно-исторический журнал. 2012. № 2.</w:t>
      </w:r>
      <w:r>
        <w:rPr>
          <w:spacing w:val="-6"/>
        </w:rPr>
        <w:t xml:space="preserve"> </w:t>
      </w:r>
      <w:r w:rsidRPr="00D36496">
        <w:rPr>
          <w:spacing w:val="-6"/>
        </w:rPr>
        <w:t>С.43–46.</w:t>
      </w:r>
    </w:p>
    <w:p w:rsidR="00512CBF" w:rsidRDefault="00512CBF" w:rsidP="00CA54B4"/>
    <w:sectPr w:rsidR="00512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A6"/>
    <w:rsid w:val="00512CBF"/>
    <w:rsid w:val="00CA54B4"/>
    <w:rsid w:val="00E5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AA182-B318-4039-B09D-8E8A381A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A6"/>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firstLine="709"/>
      <w:jc w:val="both"/>
    </w:pPr>
    <w:rPr>
      <w:rFonts w:ascii="Times New Roman" w:eastAsia="Calibri" w:hAnsi="Times New Roman" w:cs="Arial Unicode MS"/>
      <w:color w:val="000000"/>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2023-04-06T12:45:00Z</dcterms:created>
  <dcterms:modified xsi:type="dcterms:W3CDTF">2023-04-06T12:48:00Z</dcterms:modified>
</cp:coreProperties>
</file>