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>или при подаче заявления в вуз через Госуслуги.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Госуслугах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>ра через личный кабинет на 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057493E9" w14:textId="781DCDAE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>через Госуслуги</w:t>
      </w:r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50238">
        <w:rPr>
          <w:rFonts w:ascii="Times New Roman" w:hAnsi="Times New Roman" w:cs="Times New Roman"/>
          <w:b/>
          <w:sz w:val="28"/>
          <w:szCs w:val="28"/>
        </w:rPr>
        <w:t>19 сентября.</w:t>
      </w:r>
      <w:bookmarkStart w:id="0" w:name="_GoBack"/>
      <w:bookmarkEnd w:id="0"/>
    </w:p>
    <w:p w14:paraId="10FD5DAA" w14:textId="3B27911C" w:rsidR="00915C4E" w:rsidRPr="00903727" w:rsidRDefault="00915C4E" w:rsidP="00E50238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69C5F" w14:textId="77777777" w:rsidR="00D908C2" w:rsidRDefault="00D908C2" w:rsidP="008120C0">
      <w:pPr>
        <w:spacing w:after="0" w:line="240" w:lineRule="auto"/>
      </w:pPr>
      <w:r>
        <w:separator/>
      </w:r>
    </w:p>
  </w:endnote>
  <w:endnote w:type="continuationSeparator" w:id="0">
    <w:p w14:paraId="4BC2BCE0" w14:textId="77777777" w:rsidR="00D908C2" w:rsidRDefault="00D908C2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5B60" w14:textId="77777777" w:rsidR="00D908C2" w:rsidRDefault="00D908C2" w:rsidP="008120C0">
      <w:pPr>
        <w:spacing w:after="0" w:line="240" w:lineRule="auto"/>
      </w:pPr>
      <w:r>
        <w:separator/>
      </w:r>
    </w:p>
  </w:footnote>
  <w:footnote w:type="continuationSeparator" w:id="0">
    <w:p w14:paraId="2AFCB41A" w14:textId="77777777" w:rsidR="00D908C2" w:rsidRDefault="00D908C2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C6DA8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908C2"/>
    <w:rsid w:val="00DD3BA3"/>
    <w:rsid w:val="00DE4D35"/>
    <w:rsid w:val="00E437F8"/>
    <w:rsid w:val="00E5023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Фатима</cp:lastModifiedBy>
  <cp:revision>17</cp:revision>
  <cp:lastPrinted>2025-06-27T16:55:00Z</cp:lastPrinted>
  <dcterms:created xsi:type="dcterms:W3CDTF">2025-06-02T10:28:00Z</dcterms:created>
  <dcterms:modified xsi:type="dcterms:W3CDTF">2025-07-01T13:20:00Z</dcterms:modified>
</cp:coreProperties>
</file>